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5" w:rsidRDefault="00F036A5" w:rsidP="006F3E45">
      <w:pPr>
        <w:rPr>
          <w:b/>
          <w:u w:val="single"/>
        </w:rPr>
      </w:pPr>
      <w:bookmarkStart w:id="0" w:name="_GoBack"/>
      <w:bookmarkEnd w:id="0"/>
    </w:p>
    <w:p w:rsidR="00F036A5" w:rsidRDefault="00F036A5" w:rsidP="006F3E45">
      <w:pPr>
        <w:rPr>
          <w:b/>
          <w:u w:val="single"/>
        </w:rPr>
      </w:pPr>
    </w:p>
    <w:p w:rsidR="00F036A5" w:rsidRDefault="00F036A5" w:rsidP="006F3E45">
      <w:pPr>
        <w:rPr>
          <w:b/>
          <w:u w:val="single"/>
        </w:rPr>
      </w:pPr>
    </w:p>
    <w:p w:rsidR="00F036A5" w:rsidRDefault="00F036A5" w:rsidP="006F3E45">
      <w:pPr>
        <w:rPr>
          <w:b/>
          <w:u w:val="single"/>
        </w:rPr>
      </w:pPr>
      <w:r w:rsidRPr="00CB6452">
        <w:rPr>
          <w:b/>
          <w:noProof/>
          <w:color w:val="FFFFFF"/>
          <w:u w:val="single"/>
        </w:rPr>
        <w:pict>
          <v:rect id="Dikdörtgen 1" o:spid="_x0000_s1026" style="position:absolute;margin-left:389.35pt;margin-top:5.4pt;width:96.6pt;height:143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" strokeweight="1pt">
            <v:path arrowok="t"/>
            <v:textbox style="mso-next-textbox:#Dikdörtgen 1">
              <w:txbxContent>
                <w:p w:rsidR="00EE2802" w:rsidRPr="00EE2802" w:rsidRDefault="00997198" w:rsidP="00EE280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143000" cy="1476375"/>
                        <wp:effectExtent l="19050" t="0" r="0" b="0"/>
                        <wp:docPr id="1" name="Resim 1" descr="R1 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1 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56B0F" w:rsidRPr="000C22E8" w:rsidRDefault="005F674B" w:rsidP="000C22E8">
      <w:pPr>
        <w:spacing w:line="276" w:lineRule="auto"/>
        <w:jc w:val="both"/>
        <w:rPr>
          <w:b/>
          <w:color w:val="FFFFFF"/>
        </w:rPr>
      </w:pPr>
      <w:r w:rsidRPr="000C22E8">
        <w:rPr>
          <w:b/>
          <w:u w:val="single"/>
        </w:rPr>
        <w:t>ÖZ GEÇMİŞ FORMU</w:t>
      </w:r>
      <w:r w:rsidRPr="000C22E8">
        <w:rPr>
          <w:b/>
          <w:color w:val="FFFFFF"/>
          <w:u w:val="single"/>
        </w:rPr>
        <w:t>Ö</w:t>
      </w:r>
      <w:r w:rsidR="00F56B0F" w:rsidRPr="000C22E8">
        <w:rPr>
          <w:b/>
          <w:color w:val="FFFFFF"/>
        </w:rPr>
        <w:t>Doç. Dr. Mustafa KAHYAOĞLU</w:t>
      </w:r>
    </w:p>
    <w:p w:rsidR="006F3E45" w:rsidRPr="000C22E8" w:rsidRDefault="006F3E45" w:rsidP="000C22E8">
      <w:pPr>
        <w:spacing w:line="276" w:lineRule="auto"/>
        <w:jc w:val="both"/>
        <w:rPr>
          <w:b/>
          <w:color w:val="FFFFFF"/>
        </w:rPr>
      </w:pPr>
    </w:p>
    <w:p w:rsidR="006F3E45" w:rsidRPr="000C22E8" w:rsidRDefault="006F3E45" w:rsidP="000C22E8">
      <w:pPr>
        <w:spacing w:line="276" w:lineRule="auto"/>
        <w:jc w:val="both"/>
        <w:rPr>
          <w:b/>
          <w:color w:val="FFFFFF"/>
        </w:rPr>
      </w:pPr>
    </w:p>
    <w:p w:rsidR="00F56B0F" w:rsidRPr="000C22E8" w:rsidRDefault="00F56B0F" w:rsidP="000C22E8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before="120" w:after="120" w:line="276" w:lineRule="auto"/>
        <w:jc w:val="both"/>
        <w:rPr>
          <w:b/>
        </w:rPr>
      </w:pPr>
      <w:r w:rsidRPr="000C22E8">
        <w:rPr>
          <w:b/>
        </w:rPr>
        <w:t>Adı Soyadı</w:t>
      </w:r>
      <w:r w:rsidR="006F3E45" w:rsidRPr="000C22E8">
        <w:rPr>
          <w:b/>
        </w:rPr>
        <w:t>:</w:t>
      </w:r>
      <w:r w:rsidR="00E84D1C" w:rsidRPr="000C22E8">
        <w:rPr>
          <w:b/>
        </w:rPr>
        <w:t xml:space="preserve"> </w:t>
      </w:r>
      <w:r w:rsidR="00D514C5" w:rsidRPr="000C22E8">
        <w:t>Fatih Ahmet ERULAŞ</w:t>
      </w:r>
    </w:p>
    <w:p w:rsidR="00F56B0F" w:rsidRPr="000C22E8" w:rsidRDefault="00F56B0F" w:rsidP="000C22E8">
      <w:pPr>
        <w:numPr>
          <w:ilvl w:val="0"/>
          <w:numId w:val="4"/>
        </w:numPr>
        <w:spacing w:before="120" w:after="120" w:line="276" w:lineRule="auto"/>
        <w:jc w:val="both"/>
      </w:pPr>
      <w:r w:rsidRPr="000C22E8">
        <w:rPr>
          <w:b/>
        </w:rPr>
        <w:t>Doğum Tarihi:</w:t>
      </w:r>
      <w:r w:rsidR="00E84D1C" w:rsidRPr="000C22E8">
        <w:rPr>
          <w:b/>
        </w:rPr>
        <w:t xml:space="preserve"> </w:t>
      </w:r>
      <w:r w:rsidR="00D514C5" w:rsidRPr="000C22E8">
        <w:t>16/06/1976</w:t>
      </w:r>
    </w:p>
    <w:p w:rsidR="00F56B0F" w:rsidRPr="000C22E8" w:rsidRDefault="00F56B0F" w:rsidP="000C22E8">
      <w:pPr>
        <w:numPr>
          <w:ilvl w:val="0"/>
          <w:numId w:val="4"/>
        </w:numPr>
        <w:spacing w:before="120" w:after="120" w:line="276" w:lineRule="auto"/>
        <w:jc w:val="both"/>
      </w:pPr>
      <w:r w:rsidRPr="000C22E8">
        <w:rPr>
          <w:b/>
        </w:rPr>
        <w:t>Unvan:</w:t>
      </w:r>
      <w:r w:rsidR="00D514C5" w:rsidRPr="000C22E8">
        <w:t>Yrd.Doç.Dr</w:t>
      </w:r>
    </w:p>
    <w:p w:rsidR="00F56B0F" w:rsidRPr="000C22E8" w:rsidRDefault="00F56B0F" w:rsidP="000C22E8">
      <w:pPr>
        <w:numPr>
          <w:ilvl w:val="0"/>
          <w:numId w:val="4"/>
        </w:numPr>
        <w:spacing w:before="120" w:after="120" w:line="276" w:lineRule="auto"/>
        <w:jc w:val="both"/>
      </w:pPr>
      <w:r w:rsidRPr="000C22E8">
        <w:rPr>
          <w:b/>
        </w:rPr>
        <w:t>Öğrenim Durumu:</w:t>
      </w:r>
      <w:r w:rsidR="00E84D1C" w:rsidRPr="000C22E8">
        <w:rPr>
          <w:b/>
        </w:rPr>
        <w:t xml:space="preserve"> </w:t>
      </w:r>
      <w:r w:rsidR="00D514C5" w:rsidRPr="000C22E8">
        <w:t>Doktora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8"/>
        <w:gridCol w:w="3204"/>
        <w:gridCol w:w="2941"/>
        <w:gridCol w:w="1246"/>
      </w:tblGrid>
      <w:tr w:rsidR="00F56B0F" w:rsidRPr="000C22E8" w:rsidTr="000C22E8">
        <w:trPr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Derece 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>Bölüm/Program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Üniversite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Yıl </w:t>
            </w:r>
          </w:p>
        </w:tc>
      </w:tr>
      <w:tr w:rsidR="00F56B0F" w:rsidRPr="000C22E8" w:rsidTr="000C22E8">
        <w:trPr>
          <w:jc w:val="center"/>
        </w:trPr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Lisans</w:t>
            </w:r>
          </w:p>
        </w:tc>
        <w:tc>
          <w:tcPr>
            <w:tcW w:w="32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Fen Fakültesi/Kimya</w:t>
            </w:r>
          </w:p>
        </w:tc>
        <w:tc>
          <w:tcPr>
            <w:tcW w:w="29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Fırat Üniversitesi</w:t>
            </w:r>
          </w:p>
        </w:tc>
        <w:tc>
          <w:tcPr>
            <w:tcW w:w="12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1999</w:t>
            </w:r>
          </w:p>
        </w:tc>
      </w:tr>
      <w:tr w:rsidR="00F56B0F" w:rsidRPr="000C22E8" w:rsidTr="000C22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Yüksek Lisans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Fen Fakültesi/Kimya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Fırat Üniversitesi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2002</w:t>
            </w:r>
          </w:p>
        </w:tc>
      </w:tr>
      <w:tr w:rsidR="00F56B0F" w:rsidRPr="000C22E8" w:rsidTr="000C22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Doktora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Fen Fakültesi/Kimya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Fırat Üniversitesi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B0F" w:rsidRPr="000C22E8" w:rsidRDefault="00D514C5" w:rsidP="000C22E8">
            <w:pPr>
              <w:spacing w:line="276" w:lineRule="auto"/>
              <w:jc w:val="both"/>
            </w:pPr>
            <w:r w:rsidRPr="000C22E8">
              <w:t>2010</w:t>
            </w:r>
          </w:p>
        </w:tc>
      </w:tr>
      <w:tr w:rsidR="00F56B0F" w:rsidRPr="000C22E8" w:rsidTr="000C22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B0F" w:rsidRPr="000C22E8" w:rsidRDefault="00F56B0F" w:rsidP="000C22E8">
            <w:pPr>
              <w:spacing w:line="276" w:lineRule="auto"/>
              <w:jc w:val="both"/>
            </w:pPr>
          </w:p>
        </w:tc>
      </w:tr>
    </w:tbl>
    <w:p w:rsidR="00F56B0F" w:rsidRPr="000C22E8" w:rsidRDefault="00F56B0F" w:rsidP="000C22E8">
      <w:pPr>
        <w:pStyle w:val="Defaul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t xml:space="preserve">Akademik Unvanlar: </w:t>
      </w:r>
      <w:r w:rsidR="00E84D1C" w:rsidRPr="000C22E8">
        <w:rPr>
          <w:rFonts w:ascii="Times New Roman" w:hAnsi="Times New Roman" w:cs="Times New Roman"/>
          <w:bCs/>
        </w:rPr>
        <w:t>Doktora</w:t>
      </w:r>
    </w:p>
    <w:p w:rsidR="00F56B0F" w:rsidRPr="000C22E8" w:rsidRDefault="00F56B0F" w:rsidP="000C22E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t xml:space="preserve">6.  Yönetilen Yüksek Lisans ve Doktora Tezleri </w:t>
      </w:r>
    </w:p>
    <w:p w:rsidR="00F56B0F" w:rsidRPr="000C22E8" w:rsidRDefault="00F56B0F" w:rsidP="000C22E8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t xml:space="preserve">6.1. Yüksek Lisans Tezleri </w:t>
      </w:r>
    </w:p>
    <w:p w:rsidR="00F56B0F" w:rsidRPr="000C22E8" w:rsidRDefault="00F56B0F" w:rsidP="000C22E8">
      <w:pPr>
        <w:spacing w:before="120" w:after="120" w:line="276" w:lineRule="auto"/>
        <w:ind w:firstLine="567"/>
        <w:jc w:val="both"/>
        <w:rPr>
          <w:b/>
          <w:bCs/>
        </w:rPr>
      </w:pPr>
      <w:r w:rsidRPr="000C22E8">
        <w:rPr>
          <w:b/>
          <w:bCs/>
        </w:rPr>
        <w:t>6.2. Doktora Tezleri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7. Yayınlar 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7.1. Uluslararası hakemli dergilerde yayınlanan makaleler (SCI &amp; SSCI &amp;ArtsandHumanities)</w:t>
      </w:r>
    </w:p>
    <w:p w:rsidR="00F036A5" w:rsidRPr="000C22E8" w:rsidRDefault="00F036A5" w:rsidP="000C22E8">
      <w:pPr>
        <w:spacing w:line="276" w:lineRule="auto"/>
        <w:ind w:left="540" w:hanging="540"/>
        <w:jc w:val="both"/>
      </w:pPr>
      <w:r w:rsidRPr="000C22E8">
        <w:tab/>
      </w:r>
      <w:r w:rsidRPr="000C22E8">
        <w:rPr>
          <w:b/>
        </w:rPr>
        <w:t>A.1</w:t>
      </w:r>
      <w:r w:rsidRPr="000C22E8">
        <w:t xml:space="preserve"> </w:t>
      </w:r>
      <w:r w:rsidRPr="000C22E8">
        <w:rPr>
          <w:bCs/>
        </w:rPr>
        <w:t xml:space="preserve">Yalcin, O., F. Karatas,  </w:t>
      </w:r>
      <w:r w:rsidRPr="000C22E8">
        <w:rPr>
          <w:b/>
          <w:bCs/>
        </w:rPr>
        <w:t>FA. Erulas,</w:t>
      </w:r>
      <w:r w:rsidRPr="000C22E8">
        <w:rPr>
          <w:bCs/>
        </w:rPr>
        <w:t xml:space="preserve">  E. Ozdemir “The levels of glutathione peroxidase, vitamin A, E, C and lipid peroxidation in patients with transitional cell carcinoma of the bladder” </w:t>
      </w:r>
      <w:r w:rsidRPr="000C22E8">
        <w:t xml:space="preserve">BJU Int. </w:t>
      </w:r>
      <w:r w:rsidRPr="000C22E8">
        <w:rPr>
          <w:b/>
        </w:rPr>
        <w:t>93(6),</w:t>
      </w:r>
      <w:r w:rsidRPr="000C22E8">
        <w:t xml:space="preserve"> 863-866 (2004).</w:t>
      </w:r>
    </w:p>
    <w:p w:rsidR="00F036A5" w:rsidRPr="000C22E8" w:rsidRDefault="00F036A5" w:rsidP="000C22E8">
      <w:pPr>
        <w:spacing w:line="276" w:lineRule="auto"/>
        <w:ind w:left="540" w:hanging="540"/>
        <w:jc w:val="both"/>
      </w:pPr>
      <w:r w:rsidRPr="000C22E8">
        <w:t xml:space="preserve">         </w:t>
      </w:r>
      <w:r w:rsidRPr="000C22E8">
        <w:rPr>
          <w:b/>
          <w:lang w:val="en-US"/>
        </w:rPr>
        <w:t>A2.</w:t>
      </w:r>
      <w:r w:rsidRPr="000C22E8">
        <w:tab/>
        <w:t xml:space="preserve">Ipek U, Arslan EI, Obek E, Karatas F, </w:t>
      </w:r>
      <w:r w:rsidRPr="000C22E8">
        <w:rPr>
          <w:b/>
        </w:rPr>
        <w:t>Erulas FA</w:t>
      </w:r>
      <w:r w:rsidRPr="000C22E8">
        <w:t xml:space="preserve">” </w:t>
      </w:r>
      <w:hyperlink r:id="rId6" w:history="1">
        <w:r w:rsidRPr="000C22E8">
          <w:rPr>
            <w:rStyle w:val="Kpr"/>
            <w:sz w:val="24"/>
          </w:rPr>
          <w:t>Determination of vitamin losses and degradation kinetics during composting</w:t>
        </w:r>
      </w:hyperlink>
      <w:r w:rsidRPr="000C22E8">
        <w:t xml:space="preserve">” Process Biochemistry </w:t>
      </w:r>
      <w:r w:rsidRPr="000C22E8">
        <w:rPr>
          <w:b/>
        </w:rPr>
        <w:t>40 (2),</w:t>
      </w:r>
      <w:r w:rsidRPr="000C22E8">
        <w:t xml:space="preserve"> 621-624 (2005).</w:t>
      </w:r>
    </w:p>
    <w:p w:rsidR="00F036A5" w:rsidRPr="000C22E8" w:rsidRDefault="00F036A5" w:rsidP="000C22E8">
      <w:pPr>
        <w:tabs>
          <w:tab w:val="left" w:pos="2580"/>
        </w:tabs>
        <w:spacing w:line="276" w:lineRule="auto"/>
        <w:ind w:left="540" w:hanging="540"/>
        <w:jc w:val="both"/>
      </w:pPr>
      <w:r w:rsidRPr="000C22E8">
        <w:tab/>
      </w:r>
      <w:r w:rsidRPr="000C22E8">
        <w:tab/>
      </w:r>
    </w:p>
    <w:p w:rsidR="00F036A5" w:rsidRPr="000C22E8" w:rsidRDefault="00F036A5" w:rsidP="000C22E8">
      <w:pPr>
        <w:spacing w:line="276" w:lineRule="auto"/>
        <w:ind w:left="540" w:hanging="540"/>
        <w:jc w:val="both"/>
      </w:pPr>
      <w:r w:rsidRPr="000C22E8">
        <w:rPr>
          <w:b/>
          <w:lang w:val="de-DE"/>
        </w:rPr>
        <w:t xml:space="preserve">       A3.</w:t>
      </w:r>
      <w:r w:rsidRPr="000C22E8">
        <w:t xml:space="preserve">Ozmen H., </w:t>
      </w:r>
      <w:r w:rsidRPr="000C22E8">
        <w:rPr>
          <w:b/>
        </w:rPr>
        <w:t>FA. Erulas,</w:t>
      </w:r>
      <w:r w:rsidRPr="000C22E8">
        <w:t xml:space="preserve"> </w:t>
      </w:r>
      <w:r w:rsidRPr="000C22E8">
        <w:rPr>
          <w:bCs/>
        </w:rPr>
        <w:t>F</w:t>
      </w:r>
      <w:r w:rsidRPr="000C22E8">
        <w:t xml:space="preserve">. </w:t>
      </w:r>
      <w:r w:rsidRPr="000C22E8">
        <w:rPr>
          <w:bCs/>
        </w:rPr>
        <w:t>Karatas,</w:t>
      </w:r>
      <w:r w:rsidRPr="000C22E8">
        <w:rPr>
          <w:b/>
          <w:bCs/>
        </w:rPr>
        <w:t xml:space="preserve"> </w:t>
      </w:r>
      <w:r w:rsidRPr="000C22E8">
        <w:t xml:space="preserve">.” </w:t>
      </w:r>
      <w:hyperlink r:id="rId7" w:history="1">
        <w:r w:rsidRPr="000C22E8">
          <w:rPr>
            <w:rStyle w:val="Kpr"/>
            <w:sz w:val="24"/>
          </w:rPr>
          <w:t>Comparison of the concentration of trace metals (Ni, Zn, Co, Cu and Se), Fe, vitamins A, C and E, and lipid peroxidation in patients with prostate cancer</w:t>
        </w:r>
      </w:hyperlink>
      <w:r w:rsidRPr="000C22E8">
        <w:t xml:space="preserve">” Clinical Chemistry and Laboratory Medicine </w:t>
      </w:r>
      <w:r w:rsidRPr="000C22E8">
        <w:rPr>
          <w:b/>
        </w:rPr>
        <w:t>44 (2),</w:t>
      </w:r>
      <w:r w:rsidRPr="000C22E8">
        <w:t xml:space="preserve"> 175-179 (2006).</w:t>
      </w:r>
    </w:p>
    <w:p w:rsidR="00F036A5" w:rsidRPr="000C22E8" w:rsidRDefault="00F036A5" w:rsidP="000C22E8">
      <w:pPr>
        <w:spacing w:line="276" w:lineRule="auto"/>
        <w:ind w:left="540" w:hanging="540"/>
        <w:jc w:val="both"/>
        <w:rPr>
          <w:lang w:val="en-US"/>
        </w:rPr>
      </w:pPr>
    </w:p>
    <w:p w:rsidR="00F036A5" w:rsidRPr="000C22E8" w:rsidRDefault="00F036A5" w:rsidP="000C22E8">
      <w:pPr>
        <w:spacing w:line="276" w:lineRule="auto"/>
        <w:ind w:left="540" w:hanging="540"/>
        <w:jc w:val="both"/>
      </w:pPr>
      <w:r w:rsidRPr="000C22E8">
        <w:rPr>
          <w:b/>
        </w:rPr>
        <w:t xml:space="preserve">    A4.</w:t>
      </w:r>
      <w:r w:rsidRPr="000C22E8">
        <w:rPr>
          <w:bCs/>
        </w:rPr>
        <w:t>Karatas F.</w:t>
      </w:r>
      <w:r w:rsidRPr="000C22E8">
        <w:t xml:space="preserve">, H. Kara, S. Servi </w:t>
      </w:r>
      <w:r w:rsidRPr="000C22E8">
        <w:rPr>
          <w:b/>
        </w:rPr>
        <w:t>Erulas FA</w:t>
      </w:r>
      <w:r w:rsidRPr="000C22E8">
        <w:t xml:space="preserve">.” </w:t>
      </w:r>
      <w:hyperlink r:id="rId8" w:history="1">
        <w:r w:rsidRPr="000C22E8">
          <w:rPr>
            <w:rStyle w:val="Kpr"/>
            <w:sz w:val="24"/>
          </w:rPr>
          <w:t>Investigation of antioxidant vitamins (A, E, C) and lipid peroxidation levels in rats injected N-(1,3-benzothiazol-2-yl)-N-(4,5-dihydro-1H-imidazol-2-yl) amine</w:t>
        </w:r>
      </w:hyperlink>
      <w:r w:rsidRPr="000C22E8">
        <w:t xml:space="preserve">” Molecules </w:t>
      </w:r>
      <w:r w:rsidRPr="000C22E8">
        <w:rPr>
          <w:b/>
        </w:rPr>
        <w:t>10 (8),</w:t>
      </w:r>
      <w:r w:rsidRPr="000C22E8">
        <w:t xml:space="preserve"> 922-928 (2005).</w:t>
      </w:r>
    </w:p>
    <w:p w:rsidR="00F56B0F" w:rsidRPr="000C22E8" w:rsidRDefault="00F036A5" w:rsidP="000C22E8">
      <w:pPr>
        <w:autoSpaceDE w:val="0"/>
        <w:autoSpaceDN w:val="0"/>
        <w:adjustRightInd w:val="0"/>
        <w:spacing w:line="276" w:lineRule="auto"/>
        <w:jc w:val="both"/>
        <w:rPr>
          <w:color w:val="5D5D5D"/>
        </w:rPr>
      </w:pPr>
      <w:r w:rsidRPr="000C22E8">
        <w:rPr>
          <w:b/>
        </w:rPr>
        <w:lastRenderedPageBreak/>
        <w:t xml:space="preserve">    A5.</w:t>
      </w:r>
      <w:r w:rsidRPr="000C22E8">
        <w:rPr>
          <w:b/>
        </w:rPr>
        <w:tab/>
      </w:r>
      <w:r w:rsidRPr="000C22E8">
        <w:rPr>
          <w:lang w:val="en-US"/>
        </w:rPr>
        <w:t xml:space="preserve">Karatas, F.,  E. Kaygusuzoglu, H. Yildiz, </w:t>
      </w:r>
      <w:r w:rsidRPr="000C22E8">
        <w:rPr>
          <w:b/>
          <w:lang w:val="en-US"/>
        </w:rPr>
        <w:t>FA. Erulas</w:t>
      </w:r>
      <w:r w:rsidRPr="000C22E8">
        <w:rPr>
          <w:vertAlign w:val="superscript"/>
          <w:lang w:val="en-US"/>
        </w:rPr>
        <w:t>”</w:t>
      </w:r>
      <w:r w:rsidRPr="000C22E8">
        <w:rPr>
          <w:lang w:val="en-US"/>
        </w:rPr>
        <w:t xml:space="preserve"> An investigation  of orotic acid levels in milk samples of subclinical mastitis cows” </w:t>
      </w:r>
      <w:r w:rsidRPr="000C22E8">
        <w:rPr>
          <w:color w:val="5D5D5D"/>
        </w:rPr>
        <w:t>2008 Archives of Physiology and Biochemistry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7.2. Uluslararası diğer hakemli dergilerde yayınlanan makaleler 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7.3. Uluslararası bilimsel toplantılarda sunulan ve bildiri kitabında (</w:t>
      </w:r>
      <w:r w:rsidRPr="000C22E8">
        <w:rPr>
          <w:b/>
          <w:bCs/>
          <w:i/>
          <w:iCs/>
        </w:rPr>
        <w:t>Proceedings</w:t>
      </w:r>
      <w:r w:rsidRPr="000C22E8">
        <w:rPr>
          <w:b/>
          <w:bCs/>
        </w:rPr>
        <w:t xml:space="preserve">) basılan bildiriler </w:t>
      </w:r>
    </w:p>
    <w:p w:rsidR="00F56B0F" w:rsidRPr="000C22E8" w:rsidRDefault="00F56B0F" w:rsidP="000C22E8">
      <w:pPr>
        <w:spacing w:before="120" w:after="120" w:line="276" w:lineRule="auto"/>
        <w:ind w:firstLine="708"/>
        <w:jc w:val="both"/>
        <w:rPr>
          <w:b/>
          <w:bCs/>
        </w:rPr>
      </w:pPr>
      <w:r w:rsidRPr="000C22E8">
        <w:rPr>
          <w:b/>
          <w:bCs/>
        </w:rPr>
        <w:t>-</w:t>
      </w:r>
      <w:r w:rsidR="00494627" w:rsidRPr="000C22E8">
        <w:t>10th Aegean Analytical Chemistry Days (AACD2016) (29th September-2 nd October 2016)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7.4. Yazılan uluslararası kitaplar veya kitaplarda bölümler </w:t>
      </w:r>
    </w:p>
    <w:p w:rsidR="00F56B0F" w:rsidRPr="000C22E8" w:rsidRDefault="00F56B0F" w:rsidP="000C22E8">
      <w:pPr>
        <w:spacing w:before="120" w:after="120" w:line="276" w:lineRule="auto"/>
        <w:ind w:firstLine="720"/>
        <w:jc w:val="both"/>
        <w:rPr>
          <w:b/>
          <w:bCs/>
        </w:rPr>
      </w:pPr>
      <w:r w:rsidRPr="000C22E8">
        <w:rPr>
          <w:b/>
          <w:bCs/>
        </w:rPr>
        <w:t>-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7.5. Ulusal hakemli dergilerde yayınlanan makaleler </w:t>
      </w:r>
    </w:p>
    <w:p w:rsidR="00F036A5" w:rsidRPr="000C22E8" w:rsidRDefault="00F56B0F" w:rsidP="000C22E8">
      <w:pPr>
        <w:spacing w:line="276" w:lineRule="auto"/>
        <w:ind w:left="540" w:hanging="540"/>
        <w:jc w:val="both"/>
      </w:pPr>
      <w:r w:rsidRPr="000C22E8">
        <w:rPr>
          <w:b/>
          <w:bCs/>
        </w:rPr>
        <w:t xml:space="preserve">- </w:t>
      </w:r>
      <w:r w:rsidR="00F036A5" w:rsidRPr="000C22E8">
        <w:rPr>
          <w:b/>
          <w:lang w:val="de-DE"/>
        </w:rPr>
        <w:t>D1.</w:t>
      </w:r>
      <w:r w:rsidR="00F036A5" w:rsidRPr="000C22E8">
        <w:rPr>
          <w:b/>
          <w:lang w:val="de-DE"/>
        </w:rPr>
        <w:tab/>
      </w:r>
      <w:r w:rsidR="00F036A5" w:rsidRPr="000C22E8">
        <w:t xml:space="preserve">Öbek, E., ŞY. Tatar, H. Hasar, F. Karataş, </w:t>
      </w:r>
      <w:r w:rsidR="00F036A5" w:rsidRPr="000C22E8">
        <w:rPr>
          <w:b/>
        </w:rPr>
        <w:t xml:space="preserve">FA. Erulaş </w:t>
      </w:r>
      <w:r w:rsidR="00F036A5" w:rsidRPr="000C22E8">
        <w:t>“</w:t>
      </w:r>
      <w:r w:rsidR="00F036A5" w:rsidRPr="000C22E8">
        <w:rPr>
          <w:bCs/>
        </w:rPr>
        <w:t>Tavuk Kesimhanesi Atıksu Arıtma Tesisi Giriş ve Çıkış Suları ile</w:t>
      </w:r>
      <w:r w:rsidR="00F036A5" w:rsidRPr="000C22E8">
        <w:t xml:space="preserve"> </w:t>
      </w:r>
      <w:r w:rsidR="00F036A5" w:rsidRPr="000C22E8">
        <w:rPr>
          <w:bCs/>
        </w:rPr>
        <w:t xml:space="preserve">Arıtma Çamurundaki Vitamin Düzeylerinin Değerlendirilmesi” </w:t>
      </w:r>
      <w:r w:rsidR="00F036A5" w:rsidRPr="000C22E8">
        <w:t xml:space="preserve">F. Ü. Fen ve Mühendislik Bilimleri Dergisi, </w:t>
      </w:r>
      <w:r w:rsidR="00F036A5" w:rsidRPr="000C22E8">
        <w:rPr>
          <w:b/>
        </w:rPr>
        <w:t>17 (2),</w:t>
      </w:r>
      <w:r w:rsidR="00F036A5" w:rsidRPr="000C22E8">
        <w:t xml:space="preserve"> 327-334 (2005)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7.6. Ulusal bilimsel toplantılarda sunulan ve bildiri kitabında basılan bildiriler </w:t>
      </w:r>
    </w:p>
    <w:p w:rsidR="000A2D12" w:rsidRPr="000C22E8" w:rsidRDefault="000A2D12" w:rsidP="000C22E8">
      <w:pPr>
        <w:spacing w:line="276" w:lineRule="auto"/>
        <w:ind w:left="540" w:hanging="540"/>
        <w:jc w:val="both"/>
      </w:pPr>
      <w:r w:rsidRPr="000C22E8">
        <w:rPr>
          <w:b/>
        </w:rPr>
        <w:t>1.</w:t>
      </w:r>
      <w:r w:rsidRPr="000C22E8">
        <w:rPr>
          <w:b/>
        </w:rPr>
        <w:tab/>
      </w:r>
      <w:r w:rsidRPr="000C22E8">
        <w:t>Karataş</w:t>
      </w:r>
      <w:r w:rsidRPr="000C22E8">
        <w:rPr>
          <w:vertAlign w:val="superscript"/>
        </w:rPr>
        <w:t xml:space="preserve"> </w:t>
      </w:r>
      <w:r w:rsidRPr="000C22E8">
        <w:t>, F., H. Kara, S. Servi</w:t>
      </w:r>
      <w:r w:rsidRPr="000C22E8">
        <w:rPr>
          <w:vertAlign w:val="superscript"/>
        </w:rPr>
        <w:t xml:space="preserve"> </w:t>
      </w:r>
      <w:r w:rsidRPr="000C22E8">
        <w:t>, T.R. Kıran</w:t>
      </w:r>
      <w:r w:rsidRPr="000C22E8">
        <w:rPr>
          <w:vertAlign w:val="superscript"/>
        </w:rPr>
        <w:t xml:space="preserve"> </w:t>
      </w:r>
      <w:r w:rsidRPr="000C22E8">
        <w:t xml:space="preserve">, </w:t>
      </w:r>
      <w:r w:rsidRPr="000C22E8">
        <w:rPr>
          <w:b/>
        </w:rPr>
        <w:t xml:space="preserve">F.A. Erulaş </w:t>
      </w:r>
      <w:r w:rsidRPr="000C22E8">
        <w:t xml:space="preserve">“Benzimidazol Türevlerinin Ratların Antioksidan Vitamin ( A, E, C) İle MDA Düzeylerine ve GSH-Px Aktivitesine Etkilerinin Araştırılması” XVII. Ulusal Kimya Kongresi, BK-S20, İstanbul, 8-11 Eylül 2003 </w:t>
      </w:r>
    </w:p>
    <w:p w:rsidR="000A2D12" w:rsidRPr="000C22E8" w:rsidRDefault="000A2D12" w:rsidP="000C22E8">
      <w:pPr>
        <w:spacing w:line="276" w:lineRule="auto"/>
        <w:ind w:left="540" w:hanging="540"/>
        <w:jc w:val="both"/>
        <w:rPr>
          <w:lang w:val="de-DE"/>
        </w:rPr>
      </w:pPr>
      <w:r w:rsidRPr="000C22E8">
        <w:rPr>
          <w:b/>
        </w:rPr>
        <w:t>2.</w:t>
      </w:r>
      <w:r w:rsidRPr="000C22E8">
        <w:rPr>
          <w:b/>
        </w:rPr>
        <w:tab/>
      </w:r>
      <w:r w:rsidRPr="000C22E8">
        <w:t xml:space="preserve">Karataş, F.,  </w:t>
      </w:r>
      <w:r w:rsidRPr="000C22E8">
        <w:rPr>
          <w:b/>
        </w:rPr>
        <w:t xml:space="preserve">F.A.  </w:t>
      </w:r>
      <w:r w:rsidRPr="000C22E8">
        <w:rPr>
          <w:b/>
          <w:lang w:val="de-DE"/>
        </w:rPr>
        <w:t>Erulaş,</w:t>
      </w:r>
      <w:r w:rsidRPr="000C22E8">
        <w:rPr>
          <w:lang w:val="de-DE"/>
        </w:rPr>
        <w:t xml:space="preserve"> O. Yalçın “Mesane Kanserinde A, E Vitamini, Selenyum, MDA ve GSH-Px” </w:t>
      </w:r>
      <w:r w:rsidRPr="000C22E8">
        <w:rPr>
          <w:i/>
          <w:lang w:val="de-DE"/>
        </w:rPr>
        <w:t>XVII. Ulusal Kimya Kongresi</w:t>
      </w:r>
      <w:r w:rsidRPr="000C22E8">
        <w:rPr>
          <w:lang w:val="de-DE"/>
        </w:rPr>
        <w:t>, BK-S41, İstanbul, 8-11 Eylül 2003</w:t>
      </w:r>
    </w:p>
    <w:p w:rsidR="000A2D12" w:rsidRPr="000C22E8" w:rsidRDefault="000A2D12" w:rsidP="000C22E8">
      <w:pPr>
        <w:spacing w:before="120" w:after="120" w:line="276" w:lineRule="auto"/>
        <w:jc w:val="both"/>
      </w:pPr>
      <w:r w:rsidRPr="000C22E8">
        <w:rPr>
          <w:b/>
          <w:lang w:val="de-DE"/>
        </w:rPr>
        <w:t xml:space="preserve">3.  </w:t>
      </w:r>
      <w:r w:rsidRPr="000C22E8">
        <w:t xml:space="preserve">Karataş, F., E. Yüksek, C. Bal, S. Servi, H. Kara, İ. Yılmaz, </w:t>
      </w:r>
      <w:r w:rsidRPr="000C22E8">
        <w:rPr>
          <w:b/>
        </w:rPr>
        <w:t>FA. Erulaş</w:t>
      </w:r>
      <w:r w:rsidRPr="000C22E8">
        <w:t>”</w:t>
      </w:r>
      <w:r w:rsidRPr="000C22E8">
        <w:rPr>
          <w:b/>
        </w:rPr>
        <w:t xml:space="preserve">   </w:t>
      </w:r>
      <w:r w:rsidRPr="000C22E8">
        <w:t>1,3,5-</w:t>
      </w:r>
      <w:r w:rsidR="00E84D1C" w:rsidRPr="000C22E8">
        <w:t xml:space="preserve">  </w:t>
      </w:r>
      <w:r w:rsidR="000C22E8">
        <w:t xml:space="preserve">  </w:t>
      </w:r>
      <w:r w:rsidRPr="000C22E8">
        <w:t>Tiyadiazol substitüe imidazolin ve tiyosemikarbazon türevlerinin ratların (wistar) bazı kan parametrelerine etkilerinin araştırılması“   XX Ulusal Kimya Kongresi,BKP-20, Kayseri 4-8 Eylül 2006</w:t>
      </w:r>
    </w:p>
    <w:p w:rsidR="000A2D12" w:rsidRPr="000C22E8" w:rsidRDefault="000A2D12" w:rsidP="000C22E8">
      <w:pPr>
        <w:spacing w:line="276" w:lineRule="auto"/>
        <w:ind w:left="540" w:hanging="540"/>
        <w:jc w:val="both"/>
      </w:pPr>
      <w:r w:rsidRPr="000C22E8">
        <w:rPr>
          <w:b/>
        </w:rPr>
        <w:t xml:space="preserve">4. </w:t>
      </w:r>
      <w:r w:rsidR="00E84D1C" w:rsidRPr="000C22E8">
        <w:rPr>
          <w:b/>
        </w:rPr>
        <w:t xml:space="preserve">  </w:t>
      </w:r>
      <w:r w:rsidRPr="000C22E8">
        <w:t xml:space="preserve">Karataş, F.,  E. Çöteli, H. Kara, S. Servi,  </w:t>
      </w:r>
      <w:r w:rsidRPr="000C22E8">
        <w:rPr>
          <w:b/>
        </w:rPr>
        <w:t>Fatih Ahmet Erulaş</w:t>
      </w:r>
      <w:r w:rsidRPr="000C22E8">
        <w:t xml:space="preserve"> “3-pyrol-1H-indazol’ün ratların antioksidan vitaminler(A, E ve C), selenyum ve GSH-Px aktivitesine etkileri” XXI. Ulusal Kimya Kongresi, BIYP-034  Malatya 23-27  Ağustos 2007. </w:t>
      </w:r>
    </w:p>
    <w:p w:rsidR="000A2D12" w:rsidRPr="000C22E8" w:rsidRDefault="000A2D12" w:rsidP="000C22E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A2D12" w:rsidRPr="000C22E8" w:rsidRDefault="000A2D12" w:rsidP="000C22E8">
      <w:pPr>
        <w:autoSpaceDE w:val="0"/>
        <w:autoSpaceDN w:val="0"/>
        <w:adjustRightInd w:val="0"/>
        <w:spacing w:line="276" w:lineRule="auto"/>
        <w:jc w:val="both"/>
        <w:rPr>
          <w:rFonts w:eastAsia="MyriadPro-Cond"/>
        </w:rPr>
      </w:pPr>
      <w:r w:rsidRPr="000C22E8">
        <w:rPr>
          <w:b/>
        </w:rPr>
        <w:t>5</w:t>
      </w:r>
      <w:r w:rsidRPr="000C22E8">
        <w:t>.</w:t>
      </w:r>
      <w:r w:rsidRPr="000C22E8">
        <w:rPr>
          <w:rFonts w:eastAsia="MyriadPro-Cond"/>
        </w:rPr>
        <w:t>Tip 2 Diyabetik Hastaların Serum ve İdrar Orneklerinde BazıAnyonların İyon Kromatografisi ile Tayini</w:t>
      </w:r>
      <w:r w:rsidR="000C22E8">
        <w:rPr>
          <w:rFonts w:eastAsia="MyriadPro-Cond"/>
        </w:rPr>
        <w:t xml:space="preserve"> </w:t>
      </w:r>
      <w:r w:rsidRPr="000C22E8">
        <w:rPr>
          <w:rFonts w:eastAsia="MyriadPro-Cond"/>
        </w:rPr>
        <w:t xml:space="preserve">Yrd. Doc. Dr. FATİH AHMET ERULAŞ, Prof. Dr. İBRAHİM YILMAZ, Prof. Dr. EMİR DONDER, Prof. Dr. FİKRET KARATAŞ, Prof. Dr. HABİBE OZMEN </w:t>
      </w:r>
      <w:r w:rsidRPr="00C20491">
        <w:rPr>
          <w:rFonts w:eastAsia="MyriadPro-Cond"/>
        </w:rPr>
        <w:t xml:space="preserve">An-96 </w:t>
      </w:r>
      <w:r w:rsidRPr="00C20491">
        <w:t>27. Ulusal Kimya Kongresi</w:t>
      </w:r>
      <w:r w:rsidR="00C20491" w:rsidRPr="00C20491">
        <w:t xml:space="preserve"> 23-28 Ağustos 2015 / Çanakkale</w:t>
      </w:r>
    </w:p>
    <w:p w:rsidR="00C20491" w:rsidRDefault="00C20491" w:rsidP="000C22E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A2D12" w:rsidRPr="000C22E8" w:rsidRDefault="00494627" w:rsidP="000C22E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 w:rsidRPr="000C22E8">
        <w:rPr>
          <w:b/>
          <w:bCs/>
        </w:rPr>
        <w:t>6</w:t>
      </w:r>
      <w:r w:rsidRPr="000C22E8">
        <w:rPr>
          <w:bCs/>
        </w:rPr>
        <w:t xml:space="preserve">. </w:t>
      </w:r>
      <w:r w:rsidR="000C22E8" w:rsidRPr="000C22E8">
        <w:rPr>
          <w:rFonts w:eastAsia="Calibri"/>
          <w:bCs/>
        </w:rPr>
        <w:t>Çevre Örneklerinde Cr(III) VE Cr(VI) Türlerinin IC-ICP-MS Sisteminde EserSeviyelerde Eş Zamanlı  Tayinleri</w:t>
      </w:r>
      <w:r w:rsidR="000C22E8" w:rsidRPr="000C22E8">
        <w:rPr>
          <w:rFonts w:eastAsia="Calibri"/>
          <w:b/>
          <w:bCs/>
        </w:rPr>
        <w:t xml:space="preserve"> </w:t>
      </w:r>
      <w:r w:rsidR="000C22E8" w:rsidRPr="000C22E8">
        <w:rPr>
          <w:rFonts w:eastAsia="Calibri"/>
        </w:rPr>
        <w:t xml:space="preserve">Sabriye Sel, Fatih Ahmet Erulaş, Fatma Turak, Recai Göksu, Sezgin Bakırdere </w:t>
      </w:r>
      <w:r w:rsidR="000C22E8" w:rsidRPr="000C22E8">
        <w:rPr>
          <w:rFonts w:eastAsia="Calibri"/>
          <w:bCs/>
        </w:rPr>
        <w:t>IV. Eser Analiz Kongresi P87</w:t>
      </w:r>
      <w:r w:rsidR="000C22E8" w:rsidRPr="000C22E8">
        <w:rPr>
          <w:rFonts w:eastAsia="Calibri"/>
          <w:b/>
          <w:bCs/>
        </w:rPr>
        <w:t xml:space="preserve"> </w:t>
      </w:r>
      <w:r w:rsidR="000C22E8" w:rsidRPr="000C22E8">
        <w:rPr>
          <w:rFonts w:eastAsia="Calibri"/>
          <w:bCs/>
        </w:rPr>
        <w:t>19-22 MAYIS 2016 SAKARYA</w:t>
      </w:r>
      <w:r w:rsidR="000A2D12" w:rsidRPr="000C22E8">
        <w:rPr>
          <w:b/>
          <w:bCs/>
        </w:rPr>
        <w:tab/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</w:p>
    <w:p w:rsidR="00F56B0F" w:rsidRPr="000C22E8" w:rsidRDefault="00F56B0F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22E8">
        <w:rPr>
          <w:rFonts w:ascii="Times New Roman" w:hAnsi="Times New Roman" w:cs="Times New Roman"/>
          <w:b/>
          <w:bCs/>
        </w:rPr>
        <w:lastRenderedPageBreak/>
        <w:t xml:space="preserve">7.7. Diğer yayınlar </w:t>
      </w:r>
    </w:p>
    <w:p w:rsidR="00F56B0F" w:rsidRPr="000C22E8" w:rsidRDefault="00F56B0F" w:rsidP="000C22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7.8. Uluslararası atıflar</w:t>
      </w:r>
      <w:r w:rsidR="00494627" w:rsidRPr="000C22E8">
        <w:rPr>
          <w:b/>
          <w:bCs/>
        </w:rPr>
        <w:t>: 82 atıf</w:t>
      </w:r>
    </w:p>
    <w:p w:rsidR="006F3E45" w:rsidRPr="000C22E8" w:rsidRDefault="006F3E45" w:rsidP="000C22E8">
      <w:pPr>
        <w:spacing w:before="120" w:after="120" w:line="276" w:lineRule="auto"/>
        <w:jc w:val="both"/>
        <w:rPr>
          <w:b/>
          <w:bCs/>
        </w:rPr>
      </w:pP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8. Ulusal &amp; Uluslararası Projeler 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9. İdari Görevler 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-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 xml:space="preserve">10. Bilimsel ve Mesleki Kuruluşlara Üyelikler 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-</w:t>
      </w:r>
    </w:p>
    <w:p w:rsidR="00F56B0F" w:rsidRPr="000C22E8" w:rsidRDefault="00F56B0F" w:rsidP="000C22E8">
      <w:pPr>
        <w:spacing w:before="120" w:after="120" w:line="276" w:lineRule="auto"/>
        <w:jc w:val="both"/>
        <w:rPr>
          <w:b/>
          <w:bCs/>
        </w:rPr>
      </w:pPr>
      <w:r w:rsidRPr="000C22E8">
        <w:rPr>
          <w:b/>
          <w:bCs/>
        </w:rPr>
        <w:t>11. Ödüller</w:t>
      </w:r>
      <w:r w:rsidR="000A2D12" w:rsidRPr="000C22E8">
        <w:rPr>
          <w:b/>
          <w:bCs/>
        </w:rPr>
        <w:t xml:space="preserve">: </w:t>
      </w:r>
      <w:r w:rsidR="000A2D12" w:rsidRPr="000C22E8">
        <w:rPr>
          <w:bCs/>
        </w:rPr>
        <w:t>2 kez tübitak teşvik ödülü</w:t>
      </w:r>
    </w:p>
    <w:p w:rsidR="00F56B0F" w:rsidRPr="000C22E8" w:rsidRDefault="00F56B0F" w:rsidP="000C22E8">
      <w:pPr>
        <w:spacing w:before="120" w:after="120" w:line="276" w:lineRule="auto"/>
        <w:jc w:val="both"/>
      </w:pPr>
    </w:p>
    <w:p w:rsidR="00F56B0F" w:rsidRPr="000C22E8" w:rsidRDefault="00F56B0F" w:rsidP="000C22E8">
      <w:pPr>
        <w:spacing w:before="120" w:after="120" w:line="276" w:lineRule="auto"/>
        <w:jc w:val="both"/>
      </w:pPr>
    </w:p>
    <w:p w:rsidR="00F56B0F" w:rsidRPr="000C22E8" w:rsidRDefault="00F56B0F" w:rsidP="000C22E8">
      <w:pPr>
        <w:spacing w:line="276" w:lineRule="auto"/>
        <w:jc w:val="both"/>
      </w:pPr>
      <w:r w:rsidRPr="000C22E8">
        <w:rPr>
          <w:b/>
          <w:bCs/>
        </w:rPr>
        <w:t>12. Son iki yılda verdiğiniz lisans ve lisansüstü düzeydeki dersler için aşağıdaki tabloyu doldurunuz.</w:t>
      </w:r>
    </w:p>
    <w:p w:rsidR="00F56B0F" w:rsidRPr="000C22E8" w:rsidRDefault="00F56B0F" w:rsidP="000C22E8">
      <w:pPr>
        <w:spacing w:line="276" w:lineRule="auto"/>
        <w:jc w:val="both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8"/>
        <w:gridCol w:w="1161"/>
        <w:gridCol w:w="3338"/>
        <w:gridCol w:w="947"/>
        <w:gridCol w:w="1371"/>
        <w:gridCol w:w="1113"/>
      </w:tblGrid>
      <w:tr w:rsidR="00F56B0F" w:rsidRPr="000C22E8" w:rsidTr="000C22E8">
        <w:trPr>
          <w:cantSplit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Akademik Yıl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Dönem 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Dersin Adı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Haftalık Saati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Öğrenci Sayısı 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Teorik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b/>
              </w:rPr>
              <w:t xml:space="preserve">Uygulama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2015-2016</w:t>
            </w:r>
          </w:p>
        </w:tc>
        <w:tc>
          <w:tcPr>
            <w:tcW w:w="62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1</w:t>
            </w:r>
          </w:p>
        </w:tc>
        <w:tc>
          <w:tcPr>
            <w:tcW w:w="179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Genel kimya III</w:t>
            </w: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</w:t>
            </w:r>
          </w:p>
        </w:tc>
        <w:tc>
          <w:tcPr>
            <w:tcW w:w="7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80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Fen Bil.Lab uygulamaları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40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2016-2017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1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Genel kimya III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80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Bil.Des. Fen. Eğt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B0F" w:rsidRPr="000C22E8" w:rsidRDefault="000A2D12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  <w:r w:rsidRPr="000C22E8">
              <w:rPr>
                <w:rFonts w:eastAsia="Arial Unicode MS"/>
              </w:rPr>
              <w:t>40</w:t>
            </w: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  <w:tr w:rsidR="00F56B0F" w:rsidRPr="000C22E8" w:rsidTr="000C22E8">
        <w:trPr>
          <w:cantSplit/>
        </w:trPr>
        <w:tc>
          <w:tcPr>
            <w:tcW w:w="7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F" w:rsidRPr="000C22E8" w:rsidRDefault="00F56B0F" w:rsidP="000C22E8">
            <w:pPr>
              <w:spacing w:before="100" w:beforeAutospacing="1" w:after="100" w:afterAutospacing="1" w:line="276" w:lineRule="auto"/>
              <w:jc w:val="both"/>
              <w:rPr>
                <w:rFonts w:eastAsia="Arial Unicode MS"/>
              </w:rPr>
            </w:pPr>
          </w:p>
        </w:tc>
      </w:tr>
    </w:tbl>
    <w:p w:rsidR="00F56B0F" w:rsidRPr="000C22E8" w:rsidRDefault="00F56B0F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</w:p>
    <w:p w:rsidR="00966BDA" w:rsidRPr="000C22E8" w:rsidRDefault="00966BDA" w:rsidP="000C22E8">
      <w:pPr>
        <w:spacing w:before="120" w:after="120" w:line="276" w:lineRule="auto"/>
        <w:jc w:val="both"/>
        <w:rPr>
          <w:rFonts w:eastAsia="TimesNewRomanPS-BoldMT"/>
          <w:b/>
          <w:bCs/>
          <w:u w:val="single"/>
        </w:rPr>
      </w:pPr>
      <w:r w:rsidRPr="000C22E8">
        <w:rPr>
          <w:rFonts w:eastAsia="TimesNewRomanPS-BoldMT"/>
          <w:b/>
          <w:bCs/>
          <w:u w:val="single"/>
        </w:rPr>
        <w:t>Form bilgisayar ortamında doldurulacaktır.</w:t>
      </w:r>
    </w:p>
    <w:sectPr w:rsidR="00966BDA" w:rsidRPr="000C22E8" w:rsidSect="0048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26B"/>
    <w:multiLevelType w:val="hybridMultilevel"/>
    <w:tmpl w:val="14347A32"/>
    <w:lvl w:ilvl="0" w:tplc="7DEA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6C73"/>
    <w:multiLevelType w:val="hybridMultilevel"/>
    <w:tmpl w:val="513A7C88"/>
    <w:lvl w:ilvl="0" w:tplc="CCB6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5601"/>
    <w:multiLevelType w:val="hybridMultilevel"/>
    <w:tmpl w:val="E842B614"/>
    <w:lvl w:ilvl="0" w:tplc="9292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735"/>
    <w:multiLevelType w:val="multilevel"/>
    <w:tmpl w:val="DBC8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28ED"/>
    <w:rsid w:val="000A2D12"/>
    <w:rsid w:val="000C22E8"/>
    <w:rsid w:val="00210592"/>
    <w:rsid w:val="0041449F"/>
    <w:rsid w:val="0048225C"/>
    <w:rsid w:val="00494627"/>
    <w:rsid w:val="004B28ED"/>
    <w:rsid w:val="00517295"/>
    <w:rsid w:val="005F674B"/>
    <w:rsid w:val="006F3E45"/>
    <w:rsid w:val="0070072B"/>
    <w:rsid w:val="0071666D"/>
    <w:rsid w:val="00867336"/>
    <w:rsid w:val="00906A70"/>
    <w:rsid w:val="00966BDA"/>
    <w:rsid w:val="00997198"/>
    <w:rsid w:val="00C20491"/>
    <w:rsid w:val="00C94A51"/>
    <w:rsid w:val="00CB6452"/>
    <w:rsid w:val="00CF4062"/>
    <w:rsid w:val="00D514C5"/>
    <w:rsid w:val="00E466E6"/>
    <w:rsid w:val="00E84D1C"/>
    <w:rsid w:val="00EE2802"/>
    <w:rsid w:val="00F036A5"/>
    <w:rsid w:val="00F5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6B0F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F56B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0F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rsid w:val="00F036A5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siknowledge.com:80/WoS/CIW.cgi?SID=X1988LkNEMbP8N@jHHE&amp;Func=Abstract&amp;doc=1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isiknowledge.com:80/WoS/CIW.cgi?SID=X1988LkNEMbP8N@jHHE&amp;Func=Abstract&amp;doc=1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isiknowledge.com:80/WoS/CIW.cgi?SID=X1988LkNEMbP8N@jHHE&amp;Func=Abstract&amp;doc=1/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4829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http://apps.isiknowledge.com/WoS/CIW.cgi?SID=X1988LkNEMbP8N@jHHE&amp;Func=Abstract&amp;doc=1/5</vt:lpwstr>
      </vt:variant>
      <vt:variant>
        <vt:lpwstr/>
      </vt:variant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http://apps.isiknowledge.com/WoS/CIW.cgi?SID=X1988LkNEMbP8N@jHHE&amp;Func=Abstract&amp;doc=1/4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http://apps.isiknowledge.com/WoS/CIW.cgi?SID=X1988LkNEMbP8N@jHHE&amp;Func=Abstract&amp;doc=1/14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fen_edb</cp:lastModifiedBy>
  <cp:revision>2</cp:revision>
  <cp:lastPrinted>2016-12-26T12:48:00Z</cp:lastPrinted>
  <dcterms:created xsi:type="dcterms:W3CDTF">2017-01-16T07:17:00Z</dcterms:created>
  <dcterms:modified xsi:type="dcterms:W3CDTF">2017-01-16T07:17:00Z</dcterms:modified>
</cp:coreProperties>
</file>