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967FE" w14:textId="77777777" w:rsidR="00AF449E" w:rsidRPr="00AF449E" w:rsidRDefault="00AF449E" w:rsidP="00AF449E">
      <w:pPr>
        <w:jc w:val="both"/>
        <w:rPr>
          <w:rFonts w:ascii="Times New Roman" w:hAnsi="Times New Roman" w:cs="Times New Roman"/>
          <w:b/>
        </w:rPr>
      </w:pPr>
    </w:p>
    <w:p w14:paraId="6C3764EC" w14:textId="77777777" w:rsidR="00DD0EE3" w:rsidRPr="00DD0EE3" w:rsidRDefault="00DD0EE3" w:rsidP="00DD0EE3">
      <w:pPr>
        <w:spacing w:before="100" w:beforeAutospacing="1" w:after="100" w:afterAutospacing="1" w:line="240" w:lineRule="auto"/>
        <w:jc w:val="center"/>
        <w:rPr>
          <w:rFonts w:ascii="Times New Roman" w:eastAsia="Times New Roman" w:hAnsi="Times New Roman" w:cs="Times New Roman"/>
          <w:b/>
          <w:sz w:val="24"/>
          <w:szCs w:val="24"/>
          <w:lang w:eastAsia="tr-TR"/>
        </w:rPr>
      </w:pPr>
      <w:r w:rsidRPr="00DD0EE3">
        <w:rPr>
          <w:rFonts w:ascii="Times New Roman" w:eastAsia="Times New Roman" w:hAnsi="Times New Roman" w:cs="Times New Roman"/>
          <w:b/>
          <w:sz w:val="24"/>
          <w:szCs w:val="24"/>
          <w:lang w:eastAsia="tr-TR"/>
        </w:rPr>
        <w:t>SİİRT ÜNİVERSİTESİ</w:t>
      </w:r>
      <w:r w:rsidRPr="00DD0EE3">
        <w:rPr>
          <w:rFonts w:ascii="Times New Roman" w:eastAsia="Times New Roman" w:hAnsi="Times New Roman" w:cs="Times New Roman"/>
          <w:b/>
          <w:sz w:val="24"/>
          <w:szCs w:val="24"/>
          <w:lang w:eastAsia="tr-TR"/>
        </w:rPr>
        <w:br/>
        <w:t>GÜZEL SANATLAR VE TASARIM FAKÜLTESİ</w:t>
      </w:r>
    </w:p>
    <w:p w14:paraId="24278FEC" w14:textId="41358B5F" w:rsidR="00DD0EE3" w:rsidRPr="00DD0EE3" w:rsidRDefault="00DD0EE3" w:rsidP="00DD0EE3">
      <w:pPr>
        <w:spacing w:before="100" w:beforeAutospacing="1" w:after="100" w:afterAutospacing="1" w:line="240" w:lineRule="auto"/>
        <w:jc w:val="center"/>
        <w:rPr>
          <w:rFonts w:ascii="Times New Roman" w:eastAsia="Times New Roman" w:hAnsi="Times New Roman" w:cs="Times New Roman"/>
          <w:b/>
          <w:sz w:val="24"/>
          <w:szCs w:val="24"/>
          <w:lang w:eastAsia="tr-TR"/>
        </w:rPr>
      </w:pPr>
      <w:r w:rsidRPr="00DD0EE3">
        <w:rPr>
          <w:rFonts w:ascii="Times New Roman" w:eastAsia="Times New Roman" w:hAnsi="Times New Roman" w:cs="Times New Roman"/>
          <w:b/>
          <w:sz w:val="24"/>
          <w:szCs w:val="24"/>
          <w:lang w:eastAsia="tr-TR"/>
        </w:rPr>
        <w:t>ERİŞİLEBİLİRLİK, SOSYAL MESAFE, TEKNOLOJİK ALTYA</w:t>
      </w:r>
      <w:r w:rsidR="00443D9A">
        <w:rPr>
          <w:rFonts w:ascii="Times New Roman" w:eastAsia="Times New Roman" w:hAnsi="Times New Roman" w:cs="Times New Roman"/>
          <w:b/>
          <w:sz w:val="24"/>
          <w:szCs w:val="24"/>
          <w:lang w:eastAsia="tr-TR"/>
        </w:rPr>
        <w:t>PIYA</w:t>
      </w:r>
      <w:r w:rsidRPr="00DD0EE3">
        <w:rPr>
          <w:rFonts w:ascii="Times New Roman" w:eastAsia="Times New Roman" w:hAnsi="Times New Roman" w:cs="Times New Roman"/>
          <w:b/>
          <w:sz w:val="24"/>
          <w:szCs w:val="24"/>
          <w:lang w:eastAsia="tr-TR"/>
        </w:rPr>
        <w:t xml:space="preserve"> İLİŞKİN İLKE KARARI</w:t>
      </w:r>
    </w:p>
    <w:p w14:paraId="1AABEEBC" w14:textId="77777777" w:rsidR="00443D9A" w:rsidRDefault="00443D9A" w:rsidP="00443D9A">
      <w:pPr>
        <w:pStyle w:val="NormalWeb"/>
      </w:pPr>
      <w:r>
        <w:rPr>
          <w:b/>
          <w:bCs/>
        </w:rPr>
        <w:t>MADDE 1 – Amaç</w:t>
      </w:r>
      <w:r>
        <w:t xml:space="preserve"> Bu ilke kararının amacı; Güzel Sanatlar ve Tasarım Fakültesi bünyesinde yürütülen mevcut ve açılması planlanan programların eğitim-öğretim altyapılarının sürdürülebilir şekilde geliştirilmesi, ulusal ve uluslararası erişilebilirlik standartlarının güçlendirilmesi, modern teknolojik olanakların en üst düzeye çıkarılması, fiziki ve dijital alanlarda sağlıklı, güvenli, mekânsal adaleti sağlayan ve kapsayıcı eğitim ortamlarının oluşturulmasına yönelik temel esasları belirlemektir.</w:t>
      </w:r>
    </w:p>
    <w:p w14:paraId="50F2698E" w14:textId="77777777" w:rsidR="00443D9A" w:rsidRDefault="00443D9A" w:rsidP="00443D9A">
      <w:pPr>
        <w:pStyle w:val="NormalWeb"/>
      </w:pPr>
      <w:r>
        <w:rPr>
          <w:b/>
          <w:bCs/>
        </w:rPr>
        <w:t>MADDE 2 – Kapsam</w:t>
      </w:r>
      <w:r>
        <w:t xml:space="preserve"> Bu ilke kararı; Mimarlık, Şehir ve Bölge Planlama, Peyzaj Mimarlığı ve açılması planlanan Grafik Tasarımı programları başta olmak üzere Güzel Sanatlar ve Tasarım Fakültesi bünyesindeki tüm eğitim-öğretim faaliyetlerini, fiziksel mekânları, laboratuvarları, uygulama atölyelerini, tasarım stüdyolarını, ortak kullanım alanlarını, açık mekanları ve dijital eğitim altyapılarını kapsar.</w:t>
      </w:r>
    </w:p>
    <w:p w14:paraId="7EC83C75" w14:textId="77777777" w:rsidR="00443D9A" w:rsidRDefault="00443D9A" w:rsidP="00443D9A">
      <w:pPr>
        <w:pStyle w:val="NormalWeb"/>
      </w:pPr>
      <w:r>
        <w:rPr>
          <w:b/>
          <w:bCs/>
        </w:rPr>
        <w:t>MADDE 3 – Dayanak</w:t>
      </w:r>
      <w:r>
        <w:t xml:space="preserve"> Bu ilke kararı;</w:t>
      </w:r>
    </w:p>
    <w:p w14:paraId="62C44678" w14:textId="77777777" w:rsidR="00443D9A" w:rsidRDefault="00443D9A" w:rsidP="00443D9A">
      <w:pPr>
        <w:pStyle w:val="NormalWeb"/>
        <w:numPr>
          <w:ilvl w:val="0"/>
          <w:numId w:val="1"/>
        </w:numPr>
      </w:pPr>
      <w:r>
        <w:t>2547 sayılı Yükseköğretim Kanunu,</w:t>
      </w:r>
    </w:p>
    <w:p w14:paraId="1ED04E13" w14:textId="77777777" w:rsidR="00443D9A" w:rsidRDefault="00443D9A" w:rsidP="00443D9A">
      <w:pPr>
        <w:pStyle w:val="NormalWeb"/>
        <w:numPr>
          <w:ilvl w:val="0"/>
          <w:numId w:val="1"/>
        </w:numPr>
      </w:pPr>
      <w:r>
        <w:t>Yükseköğretim Kalite Kurulu (YÖKAK) Kurumsal Akreditasyon Programı Ölçütleri,</w:t>
      </w:r>
    </w:p>
    <w:p w14:paraId="384FF8A2" w14:textId="77777777" w:rsidR="00443D9A" w:rsidRDefault="00443D9A" w:rsidP="00443D9A">
      <w:pPr>
        <w:pStyle w:val="NormalWeb"/>
        <w:numPr>
          <w:ilvl w:val="0"/>
          <w:numId w:val="1"/>
        </w:numPr>
      </w:pPr>
      <w:r>
        <w:t>5378 sayılı Engelliler Kanunu ve ilgili Erişilebilirlik Mevzuatı,</w:t>
      </w:r>
    </w:p>
    <w:p w14:paraId="6F022E7F" w14:textId="3AC7C4C3" w:rsidR="00443D9A" w:rsidRDefault="00443D9A" w:rsidP="00443D9A">
      <w:pPr>
        <w:pStyle w:val="NormalWeb"/>
        <w:numPr>
          <w:ilvl w:val="0"/>
          <w:numId w:val="1"/>
        </w:numPr>
      </w:pPr>
      <w:r>
        <w:t>Siirt Üniversitesi Kalite Sistemi, Stratejik Planı ve Kalite Politikaları esas alınarak hazırlanmıştır.</w:t>
      </w:r>
    </w:p>
    <w:p w14:paraId="41BEC190" w14:textId="77777777" w:rsidR="00443D9A" w:rsidRDefault="00443D9A" w:rsidP="00443D9A">
      <w:pPr>
        <w:pStyle w:val="NormalWeb"/>
      </w:pPr>
      <w:r>
        <w:rPr>
          <w:b/>
          <w:bCs/>
        </w:rPr>
        <w:t>MADDE 4 – Tanımlar</w:t>
      </w:r>
    </w:p>
    <w:p w14:paraId="4E147BDE" w14:textId="77777777" w:rsidR="00443D9A" w:rsidRDefault="00443D9A" w:rsidP="00443D9A">
      <w:pPr>
        <w:pStyle w:val="NormalWeb"/>
        <w:numPr>
          <w:ilvl w:val="0"/>
          <w:numId w:val="2"/>
        </w:numPr>
      </w:pPr>
      <w:r>
        <w:rPr>
          <w:b/>
          <w:bCs/>
        </w:rPr>
        <w:t>Fakülte:</w:t>
      </w:r>
      <w:r>
        <w:t xml:space="preserve"> Siirt Üniversitesi Güzel Sanatlar ve Tasarım Fakültesini,</w:t>
      </w:r>
    </w:p>
    <w:p w14:paraId="02E0C33A" w14:textId="77777777" w:rsidR="00443D9A" w:rsidRDefault="00443D9A" w:rsidP="00443D9A">
      <w:pPr>
        <w:pStyle w:val="NormalWeb"/>
        <w:numPr>
          <w:ilvl w:val="0"/>
          <w:numId w:val="2"/>
        </w:numPr>
      </w:pPr>
      <w:r>
        <w:rPr>
          <w:b/>
          <w:bCs/>
        </w:rPr>
        <w:t>Komisyon:</w:t>
      </w:r>
      <w:r>
        <w:t xml:space="preserve"> Güzel Sanatlar ve Tasarım Fakültesi Eğitim Öğretim Kalite Komisyonunu,</w:t>
      </w:r>
    </w:p>
    <w:p w14:paraId="03AE37CE" w14:textId="77777777" w:rsidR="00443D9A" w:rsidRDefault="00443D9A" w:rsidP="00443D9A">
      <w:pPr>
        <w:pStyle w:val="NormalWeb"/>
        <w:numPr>
          <w:ilvl w:val="0"/>
          <w:numId w:val="2"/>
        </w:numPr>
      </w:pPr>
      <w:r>
        <w:rPr>
          <w:b/>
          <w:bCs/>
        </w:rPr>
        <w:t>Program:</w:t>
      </w:r>
      <w:r>
        <w:t xml:space="preserve"> Fakülte bünyesinde yürütülen veya açılması planlanan lisans ve lisansüstü programlarını,</w:t>
      </w:r>
    </w:p>
    <w:p w14:paraId="4D9F8200" w14:textId="77777777" w:rsidR="00443D9A" w:rsidRDefault="00443D9A" w:rsidP="00443D9A">
      <w:pPr>
        <w:pStyle w:val="NormalWeb"/>
        <w:numPr>
          <w:ilvl w:val="0"/>
          <w:numId w:val="2"/>
        </w:numPr>
      </w:pPr>
      <w:r>
        <w:rPr>
          <w:b/>
          <w:bCs/>
        </w:rPr>
        <w:t>Erişilebilirlik:</w:t>
      </w:r>
      <w:r>
        <w:t xml:space="preserve"> Binaların, açık alanların, ulaşım araçlarının ve bilgi ile iletişim teknolojilerinin, engelliler ve hareket kısıtlılığı olan tüm dezavantajlı gruplar dahil olmak üzere herkes tarafından güvenli ve bağımsız olarak kullanılabilmesini,</w:t>
      </w:r>
    </w:p>
    <w:p w14:paraId="7B4B1241" w14:textId="77777777" w:rsidR="00443D9A" w:rsidRDefault="00443D9A" w:rsidP="00443D9A">
      <w:pPr>
        <w:pStyle w:val="NormalWeb"/>
        <w:numPr>
          <w:ilvl w:val="0"/>
          <w:numId w:val="2"/>
        </w:numPr>
      </w:pPr>
      <w:r>
        <w:rPr>
          <w:b/>
          <w:bCs/>
        </w:rPr>
        <w:t>Sosyal Mesafe / Mekânsal Kapasite:</w:t>
      </w:r>
      <w:r>
        <w:t xml:space="preserve"> Sağlıklı bir eğitim-öğretim ortamı için stüdyo, atölye ve dersliklerde öğrenci başına düşen ideal çalışma alanı ve hacimsel yeterliliği,</w:t>
      </w:r>
    </w:p>
    <w:p w14:paraId="0A08377C" w14:textId="77777777" w:rsidR="00443D9A" w:rsidRDefault="00443D9A" w:rsidP="00443D9A">
      <w:pPr>
        <w:pStyle w:val="NormalWeb"/>
        <w:numPr>
          <w:ilvl w:val="0"/>
          <w:numId w:val="2"/>
        </w:numPr>
      </w:pPr>
      <w:r>
        <w:rPr>
          <w:b/>
          <w:bCs/>
        </w:rPr>
        <w:t>Teknolojik Altyapı:</w:t>
      </w:r>
      <w:r>
        <w:t xml:space="preserve"> Bilgisayar laboratuvarları, mesleki lisanslı yazılımlar (CAD, CBS, Modelleme, Grafik Tasarım vb.), yüksek hızlı internet altyapısı, dijital sunum ve uzaktan/hibrit eğitim teknolojilerini ifade eder.</w:t>
      </w:r>
    </w:p>
    <w:p w14:paraId="78454ADD" w14:textId="77777777" w:rsidR="00443D9A" w:rsidRDefault="00443D9A" w:rsidP="00443D9A">
      <w:pPr>
        <w:pStyle w:val="NormalWeb"/>
      </w:pPr>
      <w:r>
        <w:rPr>
          <w:b/>
          <w:bCs/>
        </w:rPr>
        <w:t>MADDE 5 – İlkeler</w:t>
      </w:r>
    </w:p>
    <w:p w14:paraId="1555F0AE" w14:textId="77777777" w:rsidR="00443D9A" w:rsidRDefault="00443D9A" w:rsidP="00443D9A">
      <w:pPr>
        <w:pStyle w:val="NormalWeb"/>
        <w:numPr>
          <w:ilvl w:val="0"/>
          <w:numId w:val="3"/>
        </w:numPr>
      </w:pPr>
      <w:r>
        <w:rPr>
          <w:b/>
          <w:bCs/>
        </w:rPr>
        <w:t>Evrensel ve Engelsiz Tasarım:</w:t>
      </w:r>
      <w:r>
        <w:t xml:space="preserve"> Fakülteye ait tüm fiziki ve dijital eğitim ortamları; engelli, geçici hareket kısıtlılığı olan veya dezavantajlı tüm öğrenciler ve personel için erişilebilir, kapsayıcı ve "Evrensel Tasarım" ilkelerine uygun şekilde planlanır. Giriş </w:t>
      </w:r>
      <w:proofErr w:type="gramStart"/>
      <w:r>
        <w:lastRenderedPageBreak/>
        <w:t>rampaları</w:t>
      </w:r>
      <w:proofErr w:type="gramEnd"/>
      <w:r>
        <w:t>, asansörler, yönlendirme levhaları ve hissedilebilir yüzey uygulamaları düzenli olarak denetlenir.</w:t>
      </w:r>
    </w:p>
    <w:p w14:paraId="1CFF085F" w14:textId="77777777" w:rsidR="00443D9A" w:rsidRDefault="00443D9A" w:rsidP="00443D9A">
      <w:pPr>
        <w:pStyle w:val="NormalWeb"/>
        <w:numPr>
          <w:ilvl w:val="0"/>
          <w:numId w:val="3"/>
        </w:numPr>
      </w:pPr>
      <w:r>
        <w:rPr>
          <w:b/>
          <w:bCs/>
        </w:rPr>
        <w:t>Stüdyo ve Atölye Standartları:</w:t>
      </w:r>
      <w:r>
        <w:t xml:space="preserve"> Tasarım stüdyoları, laboratuvarlar ve uygulama atölyelerinde kullanıcı yoğunluğu titizlikle analiz edilir. Öğrenci başına düşen fiziki çalışma alanı, ulusal akreditasyon standartları ve sosyal mesafe/sağlık kriterleri göz önünde bulundurularak maksimum konfor ve güvenlik sağlayacak şekilde optimize edilir.</w:t>
      </w:r>
    </w:p>
    <w:p w14:paraId="7EF0F116" w14:textId="77777777" w:rsidR="00443D9A" w:rsidRDefault="00443D9A" w:rsidP="00443D9A">
      <w:pPr>
        <w:pStyle w:val="NormalWeb"/>
        <w:numPr>
          <w:ilvl w:val="0"/>
          <w:numId w:val="3"/>
        </w:numPr>
      </w:pPr>
      <w:r>
        <w:rPr>
          <w:b/>
          <w:bCs/>
        </w:rPr>
        <w:t>Gelişmiş Donanım ve Laboratuvar Altyapısı:</w:t>
      </w:r>
      <w:r>
        <w:t xml:space="preserve"> Mimarlık, planlama ve tasarım süreçlerinin gerektirdiği yüksek performanslı ve güncel donanıma sahip ortak bilgisayar laboratuvarlarının kurulması, güncellenmesi ve öğrencilerin serbest çalışma saatlerinde de erişimine sunulması öncelikli altyapı yatırımı olarak kabul edilir.</w:t>
      </w:r>
    </w:p>
    <w:p w14:paraId="7C5DCB41" w14:textId="77777777" w:rsidR="00443D9A" w:rsidRDefault="00443D9A" w:rsidP="00443D9A">
      <w:pPr>
        <w:pStyle w:val="NormalWeb"/>
        <w:numPr>
          <w:ilvl w:val="0"/>
          <w:numId w:val="3"/>
        </w:numPr>
      </w:pPr>
      <w:r>
        <w:rPr>
          <w:b/>
          <w:bCs/>
        </w:rPr>
        <w:t>Lisanslı Yazılım Desteği:</w:t>
      </w:r>
      <w:r>
        <w:t xml:space="preserve"> Eğitim-öğretim süreçlerinde kullanılan bilgisayar destekli tasarım (CAD), coğrafi bilgi sistemleri (CBS), üç boyutlu modelleme, yapı bilgi modellemesi (BIM) ve grafik üretim yazılımlarının güncel ve lisanslı versiyonlarının temin edilmesi, laboratuvarlarda kurulu olması ve öğrencilerin akademik gelişimleri için erişilebilir kılınması esastır.</w:t>
      </w:r>
    </w:p>
    <w:p w14:paraId="354B7CF7" w14:textId="77777777" w:rsidR="00443D9A" w:rsidRDefault="00443D9A" w:rsidP="00443D9A">
      <w:pPr>
        <w:pStyle w:val="NormalWeb"/>
        <w:numPr>
          <w:ilvl w:val="0"/>
          <w:numId w:val="3"/>
        </w:numPr>
      </w:pPr>
      <w:r>
        <w:rPr>
          <w:b/>
          <w:bCs/>
        </w:rPr>
        <w:t>Akıllı Sınıf ve Dijital Sunum Olanakları:</w:t>
      </w:r>
      <w:r>
        <w:t xml:space="preserve"> Tüm derslik ve stüdyolarda projeksiyon, akıllı tahta, ses sistemleri ve yüksek hızlı kablolu/kablosuz internet erişimi gibi teknolojik imkânlar yaygınlaştırılır ve teknolojik yıpranma payları dikkate alınarak periyodik olarak yenilenir.</w:t>
      </w:r>
    </w:p>
    <w:p w14:paraId="2C05EF6A" w14:textId="77777777" w:rsidR="00443D9A" w:rsidRDefault="00443D9A" w:rsidP="00443D9A">
      <w:pPr>
        <w:pStyle w:val="NormalWeb"/>
        <w:numPr>
          <w:ilvl w:val="0"/>
          <w:numId w:val="3"/>
        </w:numPr>
      </w:pPr>
      <w:r>
        <w:rPr>
          <w:b/>
          <w:bCs/>
        </w:rPr>
        <w:t>Esnek ve Hibrit Eğitim Altyapısı:</w:t>
      </w:r>
      <w:r>
        <w:t xml:space="preserve"> Çevrim içi/hibrit ders senaryoları, dijital sunumlar, uzaktan katılım sağlanan jüriler, e-öğrenme platformları ve web tabanlı akademik etkinliklerin sorunsuz yürütülebilmesi amacıyla fakültenin teknik altyapısı ve kesintisiz güç kaynakları sürekli olarak güçlendirilir.</w:t>
      </w:r>
    </w:p>
    <w:p w14:paraId="7ABE8D9F" w14:textId="77777777" w:rsidR="00443D9A" w:rsidRDefault="00443D9A" w:rsidP="00443D9A">
      <w:pPr>
        <w:pStyle w:val="NormalWeb"/>
        <w:numPr>
          <w:ilvl w:val="0"/>
          <w:numId w:val="3"/>
        </w:numPr>
      </w:pPr>
      <w:r>
        <w:rPr>
          <w:b/>
          <w:bCs/>
        </w:rPr>
        <w:t xml:space="preserve">Çevre ve </w:t>
      </w:r>
      <w:proofErr w:type="gramStart"/>
      <w:r>
        <w:rPr>
          <w:b/>
          <w:bCs/>
        </w:rPr>
        <w:t>Mekan</w:t>
      </w:r>
      <w:proofErr w:type="gramEnd"/>
      <w:r>
        <w:rPr>
          <w:b/>
          <w:bCs/>
        </w:rPr>
        <w:t xml:space="preserve"> Kalitesi:</w:t>
      </w:r>
      <w:r>
        <w:t xml:space="preserve"> Eğitim mekanlarının doğal ışık alma oranları, havalandırma kapasiteleri, akustik konfor şartları ve ısıtma/soğutma sistemleri öğrencilerin ve öğretim elemanlarının fiziksel sağlığını koruyacak ve odaklanmayı artıracak standartlarda tutulur.</w:t>
      </w:r>
    </w:p>
    <w:p w14:paraId="7B4BFDFA" w14:textId="77777777" w:rsidR="00443D9A" w:rsidRDefault="00443D9A" w:rsidP="00443D9A">
      <w:pPr>
        <w:pStyle w:val="NormalWeb"/>
      </w:pPr>
      <w:r>
        <w:rPr>
          <w:b/>
          <w:bCs/>
        </w:rPr>
        <w:t>MADDE 6 – İzleme ve Değerlendirme</w:t>
      </w:r>
      <w:r>
        <w:t xml:space="preserve"> Bu ilke kararının fiziki ve teknolojik göstergeleri, her akademik yıl sonunda Eğitim Öğretim Kalite Komisyonu tarafından "Erişilebilirlik, Sosyal Mesafe ve Teknolojik Altyapı İzleme Formu" ve "Program Altyapı Yeterlilik Değerlendirme Formu" üzerinden düzenli olarak izlenir. Elde edilen veriler doğrultusunda </w:t>
      </w:r>
      <w:proofErr w:type="gramStart"/>
      <w:r>
        <w:t>mekan</w:t>
      </w:r>
      <w:proofErr w:type="gramEnd"/>
      <w:r>
        <w:t xml:space="preserve"> ve altyapı iyileştirme faaliyetleri planlanarak karara bağlanır.</w:t>
      </w:r>
    </w:p>
    <w:p w14:paraId="2D5B4B58" w14:textId="77777777" w:rsidR="00443D9A" w:rsidRDefault="00443D9A" w:rsidP="00443D9A">
      <w:pPr>
        <w:pStyle w:val="NormalWeb"/>
      </w:pPr>
      <w:r>
        <w:rPr>
          <w:b/>
          <w:bCs/>
        </w:rPr>
        <w:t>EKLER:</w:t>
      </w:r>
    </w:p>
    <w:p w14:paraId="22663B9F" w14:textId="77777777" w:rsidR="00443D9A" w:rsidRDefault="00443D9A" w:rsidP="00443D9A">
      <w:pPr>
        <w:pStyle w:val="NormalWeb"/>
        <w:numPr>
          <w:ilvl w:val="0"/>
          <w:numId w:val="4"/>
        </w:numPr>
      </w:pPr>
      <w:r>
        <w:rPr>
          <w:b/>
          <w:bCs/>
        </w:rPr>
        <w:t>EK-1:</w:t>
      </w:r>
      <w:r>
        <w:t xml:space="preserve"> ERİŞİLEBİLİRLİK, SOSYAL MESAFE VE TEKNOLOJİK ALTYAPI İZLEME FORMU</w:t>
      </w:r>
    </w:p>
    <w:p w14:paraId="470A15A2" w14:textId="77777777" w:rsidR="00443D9A" w:rsidRDefault="00443D9A" w:rsidP="00443D9A">
      <w:pPr>
        <w:pStyle w:val="NormalWeb"/>
        <w:numPr>
          <w:ilvl w:val="0"/>
          <w:numId w:val="4"/>
        </w:numPr>
      </w:pPr>
      <w:r>
        <w:rPr>
          <w:b/>
          <w:bCs/>
        </w:rPr>
        <w:t>EK-2:</w:t>
      </w:r>
      <w:r>
        <w:t xml:space="preserve"> PROGRAM ALTYAPI YETERLİLİK DEĞERLENDİRME FORMU</w:t>
      </w:r>
    </w:p>
    <w:p w14:paraId="1B54C622" w14:textId="77777777" w:rsidR="00AF449E" w:rsidRPr="00AF449E" w:rsidRDefault="00AF449E" w:rsidP="00AF449E">
      <w:pPr>
        <w:jc w:val="both"/>
        <w:rPr>
          <w:rFonts w:ascii="Times New Roman" w:hAnsi="Times New Roman" w:cs="Times New Roman"/>
          <w:b/>
          <w:sz w:val="18"/>
        </w:rPr>
      </w:pPr>
    </w:p>
    <w:sectPr w:rsidR="00AF449E" w:rsidRPr="00AF44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95F72"/>
    <w:multiLevelType w:val="multilevel"/>
    <w:tmpl w:val="E8AA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FE35BA"/>
    <w:multiLevelType w:val="multilevel"/>
    <w:tmpl w:val="C152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1C6204"/>
    <w:multiLevelType w:val="multilevel"/>
    <w:tmpl w:val="F3EAE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AA0D91"/>
    <w:multiLevelType w:val="multilevel"/>
    <w:tmpl w:val="3260E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3994089">
    <w:abstractNumId w:val="1"/>
  </w:num>
  <w:num w:numId="2" w16cid:durableId="1884631378">
    <w:abstractNumId w:val="2"/>
  </w:num>
  <w:num w:numId="3" w16cid:durableId="556091146">
    <w:abstractNumId w:val="3"/>
  </w:num>
  <w:num w:numId="4" w16cid:durableId="14769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F26"/>
    <w:rsid w:val="00285BA9"/>
    <w:rsid w:val="00443D9A"/>
    <w:rsid w:val="004979AE"/>
    <w:rsid w:val="004B3934"/>
    <w:rsid w:val="005F2F26"/>
    <w:rsid w:val="00A846C6"/>
    <w:rsid w:val="00AF449E"/>
    <w:rsid w:val="00B52B04"/>
    <w:rsid w:val="00C02CF3"/>
    <w:rsid w:val="00C67BF6"/>
    <w:rsid w:val="00DD0E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389B8"/>
  <w15:chartTrackingRefBased/>
  <w15:docId w15:val="{6B141AF8-25A4-4F75-A108-AA47232A1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AF449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isselectedend">
    <w:name w:val="isselectedend"/>
    <w:basedOn w:val="Normal"/>
    <w:rsid w:val="00DD0EE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62915">
      <w:bodyDiv w:val="1"/>
      <w:marLeft w:val="0"/>
      <w:marRight w:val="0"/>
      <w:marTop w:val="0"/>
      <w:marBottom w:val="0"/>
      <w:divBdr>
        <w:top w:val="none" w:sz="0" w:space="0" w:color="auto"/>
        <w:left w:val="none" w:sz="0" w:space="0" w:color="auto"/>
        <w:bottom w:val="none" w:sz="0" w:space="0" w:color="auto"/>
        <w:right w:val="none" w:sz="0" w:space="0" w:color="auto"/>
      </w:divBdr>
    </w:div>
    <w:div w:id="388069293">
      <w:bodyDiv w:val="1"/>
      <w:marLeft w:val="0"/>
      <w:marRight w:val="0"/>
      <w:marTop w:val="0"/>
      <w:marBottom w:val="0"/>
      <w:divBdr>
        <w:top w:val="none" w:sz="0" w:space="0" w:color="auto"/>
        <w:left w:val="none" w:sz="0" w:space="0" w:color="auto"/>
        <w:bottom w:val="none" w:sz="0" w:space="0" w:color="auto"/>
        <w:right w:val="none" w:sz="0" w:space="0" w:color="auto"/>
      </w:divBdr>
    </w:div>
    <w:div w:id="1368916972">
      <w:bodyDiv w:val="1"/>
      <w:marLeft w:val="0"/>
      <w:marRight w:val="0"/>
      <w:marTop w:val="0"/>
      <w:marBottom w:val="0"/>
      <w:divBdr>
        <w:top w:val="none" w:sz="0" w:space="0" w:color="auto"/>
        <w:left w:val="none" w:sz="0" w:space="0" w:color="auto"/>
        <w:bottom w:val="none" w:sz="0" w:space="0" w:color="auto"/>
        <w:right w:val="none" w:sz="0" w:space="0" w:color="auto"/>
      </w:divBdr>
      <w:divsChild>
        <w:div w:id="483661598">
          <w:marLeft w:val="0"/>
          <w:marRight w:val="0"/>
          <w:marTop w:val="0"/>
          <w:marBottom w:val="0"/>
          <w:divBdr>
            <w:top w:val="none" w:sz="0" w:space="0" w:color="auto"/>
            <w:left w:val="none" w:sz="0" w:space="0" w:color="auto"/>
            <w:bottom w:val="none" w:sz="0" w:space="0" w:color="auto"/>
            <w:right w:val="none" w:sz="0" w:space="0" w:color="auto"/>
          </w:divBdr>
          <w:divsChild>
            <w:div w:id="382871876">
              <w:marLeft w:val="0"/>
              <w:marRight w:val="0"/>
              <w:marTop w:val="0"/>
              <w:marBottom w:val="0"/>
              <w:divBdr>
                <w:top w:val="none" w:sz="0" w:space="0" w:color="auto"/>
                <w:left w:val="none" w:sz="0" w:space="0" w:color="auto"/>
                <w:bottom w:val="none" w:sz="0" w:space="0" w:color="auto"/>
                <w:right w:val="none" w:sz="0" w:space="0" w:color="auto"/>
              </w:divBdr>
            </w:div>
          </w:divsChild>
        </w:div>
        <w:div w:id="2095322884">
          <w:marLeft w:val="0"/>
          <w:marRight w:val="0"/>
          <w:marTop w:val="0"/>
          <w:marBottom w:val="0"/>
          <w:divBdr>
            <w:top w:val="none" w:sz="0" w:space="0" w:color="auto"/>
            <w:left w:val="none" w:sz="0" w:space="0" w:color="auto"/>
            <w:bottom w:val="none" w:sz="0" w:space="0" w:color="auto"/>
            <w:right w:val="none" w:sz="0" w:space="0" w:color="auto"/>
          </w:divBdr>
          <w:divsChild>
            <w:div w:id="802192012">
              <w:marLeft w:val="0"/>
              <w:marRight w:val="0"/>
              <w:marTop w:val="0"/>
              <w:marBottom w:val="0"/>
              <w:divBdr>
                <w:top w:val="none" w:sz="0" w:space="0" w:color="auto"/>
                <w:left w:val="none" w:sz="0" w:space="0" w:color="auto"/>
                <w:bottom w:val="none" w:sz="0" w:space="0" w:color="auto"/>
                <w:right w:val="none" w:sz="0" w:space="0" w:color="auto"/>
              </w:divBdr>
            </w:div>
          </w:divsChild>
        </w:div>
        <w:div w:id="599145305">
          <w:marLeft w:val="0"/>
          <w:marRight w:val="0"/>
          <w:marTop w:val="0"/>
          <w:marBottom w:val="0"/>
          <w:divBdr>
            <w:top w:val="none" w:sz="0" w:space="0" w:color="auto"/>
            <w:left w:val="none" w:sz="0" w:space="0" w:color="auto"/>
            <w:bottom w:val="none" w:sz="0" w:space="0" w:color="auto"/>
            <w:right w:val="none" w:sz="0" w:space="0" w:color="auto"/>
          </w:divBdr>
          <w:divsChild>
            <w:div w:id="1268585137">
              <w:marLeft w:val="0"/>
              <w:marRight w:val="0"/>
              <w:marTop w:val="0"/>
              <w:marBottom w:val="0"/>
              <w:divBdr>
                <w:top w:val="none" w:sz="0" w:space="0" w:color="auto"/>
                <w:left w:val="none" w:sz="0" w:space="0" w:color="auto"/>
                <w:bottom w:val="none" w:sz="0" w:space="0" w:color="auto"/>
                <w:right w:val="none" w:sz="0" w:space="0" w:color="auto"/>
              </w:divBdr>
            </w:div>
          </w:divsChild>
        </w:div>
        <w:div w:id="856046578">
          <w:marLeft w:val="0"/>
          <w:marRight w:val="0"/>
          <w:marTop w:val="0"/>
          <w:marBottom w:val="0"/>
          <w:divBdr>
            <w:top w:val="none" w:sz="0" w:space="0" w:color="auto"/>
            <w:left w:val="none" w:sz="0" w:space="0" w:color="auto"/>
            <w:bottom w:val="none" w:sz="0" w:space="0" w:color="auto"/>
            <w:right w:val="none" w:sz="0" w:space="0" w:color="auto"/>
          </w:divBdr>
          <w:divsChild>
            <w:div w:id="10158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99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755</Words>
  <Characters>4310</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ronaldinho424</dc:creator>
  <cp:keywords/>
  <dc:description/>
  <cp:lastModifiedBy>Tayfun Şırkı</cp:lastModifiedBy>
  <cp:revision>7</cp:revision>
  <dcterms:created xsi:type="dcterms:W3CDTF">2026-06-02T09:29:00Z</dcterms:created>
  <dcterms:modified xsi:type="dcterms:W3CDTF">2026-07-03T08:28:00Z</dcterms:modified>
</cp:coreProperties>
</file>